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1747"/>
        <w:gridCol w:w="6058"/>
        <w:gridCol w:w="1595"/>
      </w:tblGrid>
      <w:tr w:rsidR="004338AE">
        <w:tblPrEx>
          <w:tblCellMar>
            <w:top w:w="0" w:type="dxa"/>
            <w:bottom w:w="0" w:type="dxa"/>
          </w:tblCellMar>
        </w:tblPrEx>
        <w:trPr>
          <w:trHeight w:hRule="exact" w:val="2083"/>
        </w:trPr>
        <w:tc>
          <w:tcPr>
            <w:tcW w:w="1747" w:type="dxa"/>
            <w:tcBorders>
              <w:top w:val="none" w:sz="0" w:space="0" w:color="000000"/>
              <w:left w:val="none" w:sz="0" w:space="0" w:color="000000"/>
              <w:bottom w:val="none" w:sz="0" w:space="0" w:color="000000"/>
              <w:right w:val="none" w:sz="0" w:space="0" w:color="000000"/>
            </w:tcBorders>
          </w:tcPr>
          <w:p w:rsidR="004338AE" w:rsidRDefault="00963A13">
            <w:pPr>
              <w:spacing w:before="19" w:after="9"/>
              <w:ind w:left="758"/>
              <w:jc w:val="right"/>
              <w:textAlignment w:val="baseline"/>
            </w:pPr>
            <w:r>
              <w:rPr>
                <w:noProof/>
              </w:rPr>
              <w:drawing>
                <wp:inline distT="0" distB="0" distL="0" distR="0">
                  <wp:extent cx="628015" cy="6216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628015" cy="621665"/>
                          </a:xfrm>
                          <a:prstGeom prst="rect">
                            <a:avLst/>
                          </a:prstGeom>
                        </pic:spPr>
                      </pic:pic>
                    </a:graphicData>
                  </a:graphic>
                </wp:inline>
              </w:drawing>
            </w:r>
          </w:p>
        </w:tc>
        <w:tc>
          <w:tcPr>
            <w:tcW w:w="6058" w:type="dxa"/>
            <w:tcBorders>
              <w:top w:val="none" w:sz="0" w:space="0" w:color="000000"/>
              <w:left w:val="none" w:sz="0" w:space="0" w:color="000000"/>
              <w:bottom w:val="none" w:sz="0" w:space="0" w:color="000000"/>
              <w:right w:val="none" w:sz="0" w:space="0" w:color="000000"/>
            </w:tcBorders>
          </w:tcPr>
          <w:p w:rsidR="004338AE" w:rsidRDefault="00963A13">
            <w:pPr>
              <w:spacing w:line="273" w:lineRule="exact"/>
              <w:ind w:right="2271"/>
              <w:jc w:val="right"/>
              <w:textAlignment w:val="baseline"/>
              <w:rPr>
                <w:rFonts w:eastAsia="Times New Roman"/>
                <w:color w:val="000000"/>
                <w:sz w:val="24"/>
              </w:rPr>
            </w:pPr>
            <w:r>
              <w:rPr>
                <w:rFonts w:eastAsia="Times New Roman"/>
                <w:color w:val="000000"/>
                <w:sz w:val="24"/>
              </w:rPr>
              <w:t>State of Nevada</w:t>
            </w:r>
          </w:p>
          <w:p w:rsidR="004338AE" w:rsidRDefault="00963A13">
            <w:pPr>
              <w:spacing w:before="11" w:line="323" w:lineRule="exact"/>
              <w:ind w:right="1011"/>
              <w:jc w:val="right"/>
              <w:textAlignment w:val="baseline"/>
              <w:rPr>
                <w:rFonts w:eastAsia="Times New Roman"/>
                <w:color w:val="000000"/>
                <w:sz w:val="28"/>
              </w:rPr>
            </w:pPr>
            <w:r>
              <w:rPr>
                <w:rFonts w:eastAsia="Times New Roman"/>
                <w:color w:val="000000"/>
                <w:sz w:val="28"/>
              </w:rPr>
              <w:t>Department of Business &amp; Industry</w:t>
            </w:r>
          </w:p>
          <w:p w:rsidR="004338AE" w:rsidRDefault="00963A13">
            <w:pPr>
              <w:spacing w:before="12" w:line="273" w:lineRule="exact"/>
              <w:ind w:right="1911"/>
              <w:jc w:val="right"/>
              <w:textAlignment w:val="baseline"/>
              <w:rPr>
                <w:rFonts w:eastAsia="Times New Roman"/>
                <w:b/>
                <w:color w:val="000000"/>
                <w:sz w:val="24"/>
              </w:rPr>
            </w:pPr>
            <w:r>
              <w:rPr>
                <w:rFonts w:eastAsia="Times New Roman"/>
                <w:b/>
                <w:color w:val="000000"/>
                <w:sz w:val="24"/>
              </w:rPr>
              <w:t>HOUSING DIVISION</w:t>
            </w:r>
          </w:p>
          <w:p w:rsidR="004338AE" w:rsidRDefault="00963A13">
            <w:pPr>
              <w:spacing w:line="233" w:lineRule="exact"/>
              <w:jc w:val="center"/>
              <w:textAlignment w:val="baseline"/>
              <w:rPr>
                <w:rFonts w:eastAsia="Times New Roman"/>
                <w:color w:val="000000"/>
                <w:sz w:val="20"/>
              </w:rPr>
            </w:pPr>
            <w:r>
              <w:rPr>
                <w:rFonts w:eastAsia="Times New Roman"/>
                <w:color w:val="000000"/>
                <w:sz w:val="20"/>
              </w:rPr>
              <w:t xml:space="preserve">1535 Old Hot Springs Road, Suite 50 </w:t>
            </w:r>
            <w:r>
              <w:rPr>
                <w:rFonts w:eastAsia="Times New Roman"/>
                <w:color w:val="000000"/>
                <w:sz w:val="20"/>
              </w:rPr>
              <w:br/>
              <w:t xml:space="preserve">Carson City, Nevada 89706 </w:t>
            </w:r>
            <w:r>
              <w:rPr>
                <w:rFonts w:eastAsia="Times New Roman"/>
                <w:color w:val="000000"/>
                <w:sz w:val="20"/>
              </w:rPr>
              <w:br/>
              <w:t xml:space="preserve">Tel.: (775) 687-2040 or (800) 227-4960 (within Nevada) </w:t>
            </w:r>
            <w:r>
              <w:rPr>
                <w:rFonts w:eastAsia="Times New Roman"/>
                <w:color w:val="000000"/>
                <w:sz w:val="20"/>
              </w:rPr>
              <w:br/>
              <w:t xml:space="preserve">Fax: (775) 687-4040 </w:t>
            </w:r>
            <w:r>
              <w:rPr>
                <w:rFonts w:eastAsia="Times New Roman"/>
                <w:color w:val="000000"/>
                <w:sz w:val="20"/>
              </w:rPr>
              <w:br/>
              <w:t>TTY Number (800) 326-6868</w:t>
            </w:r>
          </w:p>
        </w:tc>
        <w:tc>
          <w:tcPr>
            <w:tcW w:w="1595" w:type="dxa"/>
            <w:tcBorders>
              <w:top w:val="none" w:sz="0" w:space="0" w:color="000000"/>
              <w:left w:val="none" w:sz="0" w:space="0" w:color="000000"/>
              <w:bottom w:val="none" w:sz="0" w:space="0" w:color="000000"/>
              <w:right w:val="none" w:sz="0" w:space="0" w:color="000000"/>
            </w:tcBorders>
          </w:tcPr>
          <w:p w:rsidR="004338AE" w:rsidRDefault="00963A13">
            <w:pPr>
              <w:spacing w:before="19" w:after="9"/>
              <w:ind w:right="506"/>
              <w:textAlignment w:val="baseline"/>
            </w:pPr>
            <w:r>
              <w:rPr>
                <w:noProof/>
              </w:rPr>
              <w:drawing>
                <wp:inline distT="0" distB="0" distL="0" distR="0">
                  <wp:extent cx="691515" cy="51181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91515" cy="511810"/>
                          </a:xfrm>
                          <a:prstGeom prst="rect">
                            <a:avLst/>
                          </a:prstGeom>
                        </pic:spPr>
                      </pic:pic>
                    </a:graphicData>
                  </a:graphic>
                </wp:inline>
              </w:drawing>
            </w:r>
          </w:p>
        </w:tc>
      </w:tr>
    </w:tbl>
    <w:p w:rsidR="004338AE" w:rsidRDefault="004338AE">
      <w:pPr>
        <w:spacing w:after="268" w:line="20" w:lineRule="exact"/>
      </w:pPr>
    </w:p>
    <w:p w:rsidR="004338AE" w:rsidRDefault="00963A13">
      <w:pPr>
        <w:spacing w:before="10" w:line="277" w:lineRule="exact"/>
        <w:jc w:val="center"/>
        <w:textAlignment w:val="baseline"/>
        <w:rPr>
          <w:rFonts w:ascii="Arial" w:eastAsia="Arial" w:hAnsi="Arial"/>
          <w:b/>
          <w:color w:val="000000"/>
          <w:spacing w:val="8"/>
          <w:sz w:val="25"/>
        </w:rPr>
      </w:pPr>
      <w:r>
        <w:rPr>
          <w:rFonts w:ascii="Arial" w:eastAsia="Arial" w:hAnsi="Arial"/>
          <w:b/>
          <w:color w:val="000000"/>
          <w:spacing w:val="8"/>
          <w:sz w:val="25"/>
        </w:rPr>
        <w:t>PROGRAM NOTICE</w:t>
      </w:r>
    </w:p>
    <w:p w:rsidR="004338AE" w:rsidRDefault="00963A13">
      <w:pPr>
        <w:spacing w:before="107" w:line="475" w:lineRule="exact"/>
        <w:ind w:left="3240" w:right="2232" w:hanging="1080"/>
        <w:textAlignment w:val="baseline"/>
        <w:rPr>
          <w:rFonts w:eastAsia="Times New Roman"/>
          <w:color w:val="000000"/>
          <w:spacing w:val="-2"/>
          <w:sz w:val="24"/>
        </w:rPr>
      </w:pPr>
      <w:r>
        <w:rPr>
          <w:rFonts w:eastAsia="Times New Roman"/>
          <w:color w:val="000000"/>
          <w:spacing w:val="-2"/>
          <w:sz w:val="24"/>
        </w:rPr>
        <w:t>EMERGENCY SOLUTIONS GRANT PROGRAM Conflict-of-Interest Policy</w:t>
      </w:r>
    </w:p>
    <w:p w:rsidR="004338AE" w:rsidRDefault="00963A13">
      <w:pPr>
        <w:spacing w:before="392" w:line="363" w:lineRule="exact"/>
        <w:jc w:val="center"/>
        <w:textAlignment w:val="baseline"/>
        <w:rPr>
          <w:rFonts w:eastAsia="Times New Roman"/>
          <w:color w:val="000000"/>
          <w:sz w:val="32"/>
        </w:rPr>
      </w:pPr>
      <w:r>
        <w:rPr>
          <w:rFonts w:eastAsia="Times New Roman"/>
          <w:color w:val="000000"/>
          <w:sz w:val="32"/>
        </w:rPr>
        <w:t>*******************************************</w:t>
      </w:r>
    </w:p>
    <w:p w:rsidR="004338AE" w:rsidRDefault="00963A13">
      <w:pPr>
        <w:spacing w:line="258" w:lineRule="exact"/>
        <w:jc w:val="both"/>
        <w:textAlignment w:val="baseline"/>
        <w:rPr>
          <w:rFonts w:eastAsia="Times New Roman"/>
          <w:color w:val="000000"/>
        </w:rPr>
      </w:pPr>
      <w:r>
        <w:rPr>
          <w:rFonts w:eastAsia="Times New Roman"/>
          <w:color w:val="000000"/>
        </w:rPr>
        <w:t xml:space="preserve">THIS IS A POLICY STATEMENT REGARDING STATE OF NEVADA’S </w:t>
      </w:r>
      <w:r>
        <w:rPr>
          <w:rFonts w:eastAsia="Times New Roman"/>
          <w:color w:val="000000"/>
        </w:rPr>
        <w:t>CONFLICT-OF-INTEREST POLICY FOR THE EMERGENCY SOLUTIONS GRANT PROGRAM THROUGH THE NEVADA HOUSING DIVISION. THIS POLICY SHALL BE IMPLEMENTED BY THE DIVISION AND ITS SUB-RECIPIENTS</w:t>
      </w:r>
    </w:p>
    <w:p w:rsidR="004338AE" w:rsidRPr="00963A13" w:rsidRDefault="00963A13" w:rsidP="00963A13">
      <w:pPr>
        <w:tabs>
          <w:tab w:val="left" w:pos="360"/>
          <w:tab w:val="left" w:pos="720"/>
        </w:tabs>
        <w:spacing w:before="276" w:line="249" w:lineRule="exact"/>
        <w:textAlignment w:val="baseline"/>
        <w:rPr>
          <w:rFonts w:eastAsia="Times New Roman"/>
          <w:b/>
          <w:color w:val="000000"/>
        </w:rPr>
      </w:pPr>
      <w:r w:rsidRPr="00963A13">
        <w:rPr>
          <w:rFonts w:eastAsia="Times New Roman"/>
          <w:b/>
          <w:color w:val="000000"/>
        </w:rPr>
        <w:t>Organizational conflicts of interest</w:t>
      </w:r>
    </w:p>
    <w:p w:rsidR="004338AE" w:rsidRPr="00963A13" w:rsidRDefault="00963A13">
      <w:pPr>
        <w:spacing w:before="254" w:line="259" w:lineRule="exact"/>
        <w:jc w:val="both"/>
        <w:textAlignment w:val="baseline"/>
        <w:rPr>
          <w:rFonts w:eastAsia="Times New Roman"/>
          <w:color w:val="000000"/>
        </w:rPr>
      </w:pPr>
      <w:r w:rsidRPr="00963A13">
        <w:rPr>
          <w:rFonts w:eastAsia="Times New Roman"/>
          <w:color w:val="000000"/>
        </w:rPr>
        <w:t>The provision of any type or amount of E</w:t>
      </w:r>
      <w:r w:rsidRPr="00963A13">
        <w:rPr>
          <w:rFonts w:eastAsia="Times New Roman"/>
          <w:color w:val="000000"/>
        </w:rPr>
        <w:t>SG assistance may not be conditioned on an individual’s or family’s acceptance or occupancy of emergency shelter or housing owned by the Division, the sub-recipient, or a parent or subsidiary of the sub-recipient. No sub-recipient may, with respect to indi</w:t>
      </w:r>
      <w:r w:rsidRPr="00963A13">
        <w:rPr>
          <w:rFonts w:eastAsia="Times New Roman"/>
          <w:color w:val="000000"/>
        </w:rPr>
        <w:t xml:space="preserve">viduals or families occupying housing owned by the sub-recipient, or any parent or subsidiary of the sub-recipient, carry out the initial evaluation required under section 576.401 of the ESG regulations, or administer homelessness prevention assistance as </w:t>
      </w:r>
      <w:r w:rsidRPr="00963A13">
        <w:rPr>
          <w:rFonts w:eastAsia="Times New Roman"/>
          <w:color w:val="000000"/>
        </w:rPr>
        <w:t>reflected under 576.103.</w:t>
      </w:r>
    </w:p>
    <w:p w:rsidR="004338AE" w:rsidRPr="00963A13" w:rsidRDefault="00963A13" w:rsidP="00963A13">
      <w:pPr>
        <w:tabs>
          <w:tab w:val="left" w:pos="360"/>
          <w:tab w:val="left" w:pos="720"/>
        </w:tabs>
        <w:spacing w:before="276" w:line="249" w:lineRule="exact"/>
        <w:textAlignment w:val="baseline"/>
        <w:rPr>
          <w:rFonts w:eastAsia="Times New Roman"/>
          <w:b/>
          <w:color w:val="000000"/>
        </w:rPr>
      </w:pPr>
      <w:r>
        <w:rPr>
          <w:rFonts w:eastAsia="Times New Roman"/>
          <w:b/>
          <w:color w:val="000000"/>
        </w:rPr>
        <w:t>Individual conflicts of i</w:t>
      </w:r>
      <w:bookmarkStart w:id="0" w:name="_GoBack"/>
      <w:bookmarkEnd w:id="0"/>
      <w:r w:rsidRPr="00963A13">
        <w:rPr>
          <w:rFonts w:eastAsia="Times New Roman"/>
          <w:b/>
          <w:color w:val="000000"/>
        </w:rPr>
        <w:t>nterest</w:t>
      </w:r>
    </w:p>
    <w:p w:rsidR="00963A13" w:rsidRDefault="00963A13" w:rsidP="00963A13">
      <w:pPr>
        <w:spacing w:before="244" w:line="276" w:lineRule="exact"/>
        <w:jc w:val="both"/>
        <w:textAlignment w:val="baseline"/>
        <w:rPr>
          <w:rFonts w:eastAsia="Times New Roman"/>
          <w:color w:val="000000"/>
        </w:rPr>
      </w:pPr>
      <w:r>
        <w:rPr>
          <w:rFonts w:eastAsia="Times New Roman"/>
          <w:color w:val="000000"/>
        </w:rPr>
        <w:t>For procurement of goods and services, the Division and its sub-recipients must comply with the codes of conduct and conflict of interest requirements under 24 CFR 85.36 (for governments) summarized</w:t>
      </w:r>
      <w:r>
        <w:rPr>
          <w:rFonts w:eastAsia="Times New Roman"/>
          <w:color w:val="000000"/>
        </w:rPr>
        <w:t xml:space="preserve"> at </w:t>
      </w:r>
      <w:hyperlink r:id="rId7">
        <w:r>
          <w:rPr>
            <w:rFonts w:eastAsia="Times New Roman"/>
            <w:color w:val="0000FF"/>
            <w:sz w:val="24"/>
            <w:u w:val="single"/>
          </w:rPr>
          <w:t>http://portal.hud.gov/hudportal/HUD?src=/program_offices/cpo/grantees/cfr8536</w:t>
        </w:r>
      </w:hyperlink>
      <w:r>
        <w:rPr>
          <w:rFonts w:eastAsia="Times New Roman"/>
          <w:color w:val="0000FF"/>
          <w:sz w:val="24"/>
          <w:u w:val="single"/>
        </w:rPr>
        <w:t>,</w:t>
      </w:r>
      <w:r>
        <w:rPr>
          <w:rFonts w:eastAsia="Times New Roman"/>
          <w:color w:val="000000"/>
        </w:rPr>
        <w:t xml:space="preserve"> and 24 CFR 84.42 (for private non-profits) </w:t>
      </w:r>
      <w:r>
        <w:rPr>
          <w:rFonts w:eastAsia="Times New Roman"/>
          <w:color w:val="000000"/>
          <w:sz w:val="24"/>
        </w:rPr>
        <w:t>summarized at</w:t>
      </w:r>
      <w:r>
        <w:rPr>
          <w:rFonts w:eastAsia="Times New Roman"/>
          <w:color w:val="0000FF"/>
          <w:sz w:val="24"/>
          <w:u w:val="single"/>
        </w:rPr>
        <w:t xml:space="preserve"> </w:t>
      </w:r>
      <w:hyperlink r:id="rId8">
        <w:r>
          <w:rPr>
            <w:rFonts w:eastAsia="Times New Roman"/>
            <w:color w:val="0000FF"/>
            <w:sz w:val="24"/>
            <w:u w:val="single"/>
          </w:rPr>
          <w:t>http://cfr.vlex.com/vid/84-42-codes-conduct-19925063</w:t>
        </w:r>
      </w:hyperlink>
      <w:r>
        <w:rPr>
          <w:rFonts w:eastAsia="Times New Roman"/>
          <w:color w:val="0000FF"/>
          <w:u w:val="single"/>
        </w:rPr>
        <w:t>.</w:t>
      </w:r>
      <w:r>
        <w:rPr>
          <w:rFonts w:eastAsia="Times New Roman"/>
          <w:color w:val="000000"/>
        </w:rPr>
        <w:t xml:space="preserve"> For all other transactions and activities, the following restrictions apply:</w:t>
      </w:r>
    </w:p>
    <w:p w:rsidR="004338AE" w:rsidRPr="00963A13" w:rsidRDefault="00963A13" w:rsidP="00963A13">
      <w:pPr>
        <w:pStyle w:val="ListParagraph"/>
        <w:numPr>
          <w:ilvl w:val="0"/>
          <w:numId w:val="6"/>
        </w:numPr>
        <w:spacing w:before="244" w:line="276" w:lineRule="exact"/>
        <w:jc w:val="both"/>
        <w:textAlignment w:val="baseline"/>
        <w:rPr>
          <w:rFonts w:eastAsia="Times New Roman"/>
          <w:color w:val="000000"/>
        </w:rPr>
      </w:pPr>
      <w:r w:rsidRPr="00963A13">
        <w:rPr>
          <w:rFonts w:eastAsia="Times New Roman"/>
          <w:color w:val="000000"/>
          <w:spacing w:val="4"/>
        </w:rPr>
        <w:t>Conflicts Prohibited:</w:t>
      </w:r>
    </w:p>
    <w:p w:rsidR="004338AE" w:rsidRDefault="00963A13">
      <w:pPr>
        <w:spacing w:before="140" w:line="259" w:lineRule="exact"/>
        <w:ind w:left="1440"/>
        <w:jc w:val="both"/>
        <w:textAlignment w:val="baseline"/>
        <w:rPr>
          <w:rFonts w:eastAsia="Times New Roman"/>
          <w:color w:val="000000"/>
        </w:rPr>
      </w:pPr>
      <w:r>
        <w:rPr>
          <w:rFonts w:eastAsia="Times New Roman"/>
          <w:color w:val="000000"/>
        </w:rPr>
        <w:t>N</w:t>
      </w:r>
      <w:r>
        <w:rPr>
          <w:rFonts w:eastAsia="Times New Roman"/>
          <w:color w:val="000000"/>
        </w:rPr>
        <w:t>o person described in paragraph B(2) of this section who exercises or has exercised any functions or responsibilities with respect to activities assisted under the ESG program, or who is in a position to participate in a decision-making process or gain in</w:t>
      </w:r>
      <w:r>
        <w:rPr>
          <w:rFonts w:eastAsia="Times New Roman"/>
          <w:color w:val="000000"/>
        </w:rPr>
        <w:t xml:space="preserve">side information with regard to activities assisted under the program, may obtain a financial interest or benefit from an assisted activity; have a financial interest in any contract, subcontract, or agreement with respect to an assisted activity; or have </w:t>
      </w:r>
      <w:r>
        <w:rPr>
          <w:rFonts w:eastAsia="Times New Roman"/>
          <w:color w:val="000000"/>
        </w:rPr>
        <w:t xml:space="preserve">a financial interest in the proceeds derived from an assisted activity, either for him or herself or for those </w:t>
      </w:r>
      <w:r>
        <w:rPr>
          <w:rFonts w:eastAsia="Times New Roman"/>
          <w:color w:val="000000"/>
        </w:rPr>
        <w:t>with whom he or she has family or business ties, during his or her tenure or during the one-year period following his or her tenure.</w:t>
      </w:r>
    </w:p>
    <w:p w:rsidR="004338AE" w:rsidRPr="00963A13" w:rsidRDefault="004338AE" w:rsidP="00963A13">
      <w:pPr>
        <w:spacing w:before="1395" w:line="273" w:lineRule="exact"/>
        <w:jc w:val="center"/>
        <w:textAlignment w:val="baseline"/>
        <w:rPr>
          <w:rFonts w:eastAsia="Times New Roman"/>
          <w:color w:val="000000"/>
          <w:sz w:val="24"/>
        </w:rPr>
        <w:sectPr w:rsidR="004338AE" w:rsidRPr="00963A13">
          <w:pgSz w:w="12240" w:h="15840"/>
          <w:pgMar w:top="1440" w:right="1400" w:bottom="100" w:left="1440" w:header="720" w:footer="720" w:gutter="0"/>
          <w:cols w:space="720"/>
        </w:sectPr>
      </w:pPr>
    </w:p>
    <w:p w:rsidR="00963A13" w:rsidRDefault="00963A13" w:rsidP="00963A13">
      <w:pPr>
        <w:spacing w:before="4" w:line="259" w:lineRule="exact"/>
        <w:ind w:left="1440"/>
        <w:jc w:val="both"/>
        <w:textAlignment w:val="baseline"/>
        <w:rPr>
          <w:rFonts w:eastAsia="Times New Roman"/>
          <w:color w:val="000000"/>
        </w:rPr>
      </w:pPr>
    </w:p>
    <w:p w:rsidR="004338AE" w:rsidRPr="00963A13" w:rsidRDefault="00963A13" w:rsidP="00963A13">
      <w:pPr>
        <w:pStyle w:val="ListParagraph"/>
        <w:numPr>
          <w:ilvl w:val="0"/>
          <w:numId w:val="6"/>
        </w:numPr>
        <w:spacing w:before="4" w:line="259" w:lineRule="exact"/>
        <w:jc w:val="both"/>
        <w:textAlignment w:val="baseline"/>
        <w:rPr>
          <w:rFonts w:eastAsia="Times New Roman"/>
          <w:color w:val="000000"/>
        </w:rPr>
      </w:pPr>
      <w:r w:rsidRPr="00963A13">
        <w:rPr>
          <w:rFonts w:eastAsia="Times New Roman"/>
          <w:color w:val="000000"/>
        </w:rPr>
        <w:t>Pers</w:t>
      </w:r>
      <w:r w:rsidRPr="00963A13">
        <w:rPr>
          <w:rFonts w:eastAsia="Times New Roman"/>
          <w:color w:val="000000"/>
        </w:rPr>
        <w:t>on Covered:</w:t>
      </w:r>
    </w:p>
    <w:p w:rsidR="004338AE" w:rsidRDefault="00963A13">
      <w:pPr>
        <w:spacing w:before="145" w:line="259" w:lineRule="exact"/>
        <w:ind w:left="1440"/>
        <w:jc w:val="both"/>
        <w:textAlignment w:val="baseline"/>
        <w:rPr>
          <w:rFonts w:eastAsia="Times New Roman"/>
          <w:color w:val="000000"/>
        </w:rPr>
      </w:pPr>
      <w:r>
        <w:rPr>
          <w:rFonts w:eastAsia="Times New Roman"/>
          <w:color w:val="000000"/>
        </w:rPr>
        <w:t>T</w:t>
      </w:r>
      <w:r>
        <w:rPr>
          <w:rFonts w:eastAsia="Times New Roman"/>
          <w:color w:val="000000"/>
        </w:rPr>
        <w:t>he conflict of interest provisions of paragraph B (1) of this section apply to any person who is an employee, agency, consultant, officer, or elected or appointed official of the Division or its sub-recipients.</w:t>
      </w:r>
    </w:p>
    <w:p w:rsidR="004338AE" w:rsidRPr="00963A13" w:rsidRDefault="00963A13" w:rsidP="00963A13">
      <w:pPr>
        <w:pStyle w:val="ListParagraph"/>
        <w:numPr>
          <w:ilvl w:val="0"/>
          <w:numId w:val="6"/>
        </w:numPr>
        <w:tabs>
          <w:tab w:val="left" w:pos="1440"/>
        </w:tabs>
        <w:spacing w:before="259" w:line="259" w:lineRule="exact"/>
        <w:textAlignment w:val="baseline"/>
        <w:rPr>
          <w:rFonts w:eastAsia="Times New Roman"/>
          <w:color w:val="000000"/>
        </w:rPr>
      </w:pPr>
      <w:r w:rsidRPr="00963A13">
        <w:rPr>
          <w:rFonts w:eastAsia="Times New Roman"/>
          <w:color w:val="000000"/>
        </w:rPr>
        <w:t>Exceptions:</w:t>
      </w:r>
    </w:p>
    <w:p w:rsidR="004338AE" w:rsidRDefault="00963A13">
      <w:pPr>
        <w:spacing w:before="140" w:line="259" w:lineRule="exact"/>
        <w:ind w:left="1440"/>
        <w:jc w:val="both"/>
        <w:textAlignment w:val="baseline"/>
        <w:rPr>
          <w:rFonts w:eastAsia="Times New Roman"/>
          <w:color w:val="000000"/>
        </w:rPr>
      </w:pPr>
      <w:r>
        <w:rPr>
          <w:rFonts w:eastAsia="Times New Roman"/>
          <w:color w:val="000000"/>
        </w:rPr>
        <w:t>U</w:t>
      </w:r>
      <w:r>
        <w:rPr>
          <w:rFonts w:eastAsia="Times New Roman"/>
          <w:color w:val="000000"/>
        </w:rPr>
        <w:t>pon the written req</w:t>
      </w:r>
      <w:r>
        <w:rPr>
          <w:rFonts w:eastAsia="Times New Roman"/>
          <w:color w:val="000000"/>
        </w:rPr>
        <w:t>uest by the Division, HUD has stated that they may grant an exception to the provisions of this rule on a case-by-case basis, taking into account the cumulative effects of the criteria in paragraph B(3)(ii), provided that the Division has satisfactorily me</w:t>
      </w:r>
      <w:r>
        <w:rPr>
          <w:rFonts w:eastAsia="Times New Roman"/>
          <w:color w:val="000000"/>
        </w:rPr>
        <w:t>t the threshold requirements of paragraph B(3)(i).</w:t>
      </w:r>
    </w:p>
    <w:p w:rsidR="004338AE" w:rsidRDefault="00963A13">
      <w:pPr>
        <w:tabs>
          <w:tab w:val="right" w:pos="1800"/>
          <w:tab w:val="left" w:pos="2160"/>
        </w:tabs>
        <w:spacing w:before="261" w:line="259" w:lineRule="exact"/>
        <w:ind w:left="1656"/>
        <w:textAlignment w:val="baseline"/>
        <w:rPr>
          <w:rFonts w:eastAsia="Times New Roman"/>
          <w:color w:val="000000"/>
        </w:rPr>
      </w:pPr>
      <w:r>
        <w:rPr>
          <w:rFonts w:eastAsia="Times New Roman"/>
          <w:color w:val="000000"/>
        </w:rPr>
        <w:tab/>
        <w:t>i.</w:t>
      </w:r>
      <w:r>
        <w:rPr>
          <w:rFonts w:eastAsia="Times New Roman"/>
          <w:color w:val="000000"/>
        </w:rPr>
        <w:tab/>
      </w:r>
      <w:r>
        <w:rPr>
          <w:rFonts w:eastAsia="Times New Roman"/>
          <w:i/>
          <w:color w:val="000000"/>
        </w:rPr>
        <w:t xml:space="preserve">Threshold requirements. </w:t>
      </w:r>
      <w:r>
        <w:rPr>
          <w:rFonts w:eastAsia="Times New Roman"/>
          <w:color w:val="000000"/>
        </w:rPr>
        <w:t>HUD will consider an exception only after the Division</w:t>
      </w:r>
    </w:p>
    <w:p w:rsidR="004338AE" w:rsidRDefault="00963A13" w:rsidP="00963A13">
      <w:pPr>
        <w:spacing w:line="258" w:lineRule="exact"/>
        <w:textAlignment w:val="baseline"/>
        <w:rPr>
          <w:rFonts w:eastAsia="Times New Roman"/>
          <w:color w:val="000000"/>
        </w:rPr>
      </w:pPr>
      <w:r>
        <w:rPr>
          <w:rFonts w:eastAsia="Times New Roman"/>
          <w:color w:val="000000"/>
        </w:rPr>
        <w:t xml:space="preserve">                                        </w:t>
      </w:r>
      <w:r>
        <w:rPr>
          <w:rFonts w:eastAsia="Times New Roman"/>
          <w:color w:val="000000"/>
        </w:rPr>
        <w:t>has provided the following documentation:</w:t>
      </w:r>
    </w:p>
    <w:p w:rsidR="004338AE" w:rsidRDefault="00963A13">
      <w:pPr>
        <w:numPr>
          <w:ilvl w:val="0"/>
          <w:numId w:val="3"/>
        </w:numPr>
        <w:tabs>
          <w:tab w:val="clear" w:pos="360"/>
          <w:tab w:val="left" w:pos="2880"/>
        </w:tabs>
        <w:spacing w:before="1" w:line="259" w:lineRule="exact"/>
        <w:ind w:left="2880" w:hanging="360"/>
        <w:jc w:val="both"/>
        <w:textAlignment w:val="baseline"/>
        <w:rPr>
          <w:rFonts w:eastAsia="Times New Roman"/>
          <w:color w:val="000000"/>
        </w:rPr>
      </w:pPr>
      <w:r>
        <w:rPr>
          <w:rFonts w:eastAsia="Times New Roman"/>
          <w:color w:val="000000"/>
        </w:rPr>
        <w:t>If the Division or its sub-recipient is a government, disclosure of the nature of the conflict, accompanied by an assurance that there has been public disclosure of the conflict and a description of how the public disclosure was made; and</w:t>
      </w:r>
    </w:p>
    <w:p w:rsidR="004338AE" w:rsidRDefault="00963A13">
      <w:pPr>
        <w:numPr>
          <w:ilvl w:val="0"/>
          <w:numId w:val="3"/>
        </w:numPr>
        <w:tabs>
          <w:tab w:val="clear" w:pos="360"/>
          <w:tab w:val="left" w:pos="2880"/>
        </w:tabs>
        <w:spacing w:line="259" w:lineRule="exact"/>
        <w:ind w:left="2880" w:hanging="360"/>
        <w:jc w:val="both"/>
        <w:textAlignment w:val="baseline"/>
        <w:rPr>
          <w:rFonts w:eastAsia="Times New Roman"/>
          <w:color w:val="000000"/>
        </w:rPr>
      </w:pPr>
      <w:r>
        <w:rPr>
          <w:rFonts w:eastAsia="Times New Roman"/>
          <w:color w:val="000000"/>
        </w:rPr>
        <w:t>An opinion of the</w:t>
      </w:r>
      <w:r>
        <w:rPr>
          <w:rFonts w:eastAsia="Times New Roman"/>
          <w:color w:val="000000"/>
        </w:rPr>
        <w:t xml:space="preserve"> Division’s attorney that the interest for which the exception is sought would not violate state or local law.</w:t>
      </w:r>
    </w:p>
    <w:p w:rsidR="004338AE" w:rsidRDefault="00963A13">
      <w:pPr>
        <w:tabs>
          <w:tab w:val="right" w:pos="1800"/>
          <w:tab w:val="left" w:pos="2160"/>
        </w:tabs>
        <w:spacing w:before="261" w:line="259" w:lineRule="exact"/>
        <w:ind w:left="1656"/>
        <w:textAlignment w:val="baseline"/>
        <w:rPr>
          <w:rFonts w:eastAsia="Times New Roman"/>
          <w:color w:val="000000"/>
        </w:rPr>
      </w:pPr>
      <w:r>
        <w:rPr>
          <w:rFonts w:eastAsia="Times New Roman"/>
          <w:color w:val="000000"/>
        </w:rPr>
        <w:tab/>
        <w:t>ii.</w:t>
      </w:r>
      <w:r>
        <w:rPr>
          <w:rFonts w:eastAsia="Times New Roman"/>
          <w:color w:val="000000"/>
        </w:rPr>
        <w:tab/>
      </w:r>
      <w:r>
        <w:rPr>
          <w:rFonts w:eastAsia="Times New Roman"/>
          <w:i/>
          <w:color w:val="000000"/>
        </w:rPr>
        <w:t xml:space="preserve">Factors to be considered for exemptions. </w:t>
      </w:r>
      <w:r>
        <w:rPr>
          <w:rFonts w:eastAsia="Times New Roman"/>
          <w:color w:val="000000"/>
        </w:rPr>
        <w:t>In determining whether to grant a</w:t>
      </w:r>
    </w:p>
    <w:p w:rsidR="004338AE" w:rsidRDefault="00963A13">
      <w:pPr>
        <w:spacing w:line="259" w:lineRule="exact"/>
        <w:ind w:left="2160"/>
        <w:jc w:val="both"/>
        <w:textAlignment w:val="baseline"/>
        <w:rPr>
          <w:rFonts w:eastAsia="Times New Roman"/>
          <w:color w:val="000000"/>
        </w:rPr>
      </w:pPr>
      <w:r>
        <w:rPr>
          <w:rFonts w:eastAsia="Times New Roman"/>
          <w:color w:val="000000"/>
        </w:rPr>
        <w:t>requested exception after the Division has satisfactorily met the</w:t>
      </w:r>
      <w:r>
        <w:rPr>
          <w:rFonts w:eastAsia="Times New Roman"/>
          <w:color w:val="000000"/>
        </w:rPr>
        <w:t xml:space="preserve"> threshold requirements under paragraph B(3)(i), HUD must conclude that the exception will serve to further the purposes of the ESG program and the effective and efficient administration of the Division or its sub-recipient’s program or project, taking int</w:t>
      </w:r>
      <w:r>
        <w:rPr>
          <w:rFonts w:eastAsia="Times New Roman"/>
          <w:color w:val="000000"/>
        </w:rPr>
        <w:t>o account the cumulative effect of the following factors, as applicable:</w:t>
      </w:r>
    </w:p>
    <w:p w:rsidR="004338AE" w:rsidRDefault="00963A13">
      <w:pPr>
        <w:numPr>
          <w:ilvl w:val="0"/>
          <w:numId w:val="4"/>
        </w:numPr>
        <w:tabs>
          <w:tab w:val="clear" w:pos="360"/>
          <w:tab w:val="left" w:pos="2880"/>
        </w:tabs>
        <w:spacing w:line="259" w:lineRule="exact"/>
        <w:ind w:left="2880" w:hanging="360"/>
        <w:jc w:val="both"/>
        <w:textAlignment w:val="baseline"/>
        <w:rPr>
          <w:rFonts w:eastAsia="Times New Roman"/>
          <w:color w:val="000000"/>
        </w:rPr>
      </w:pPr>
      <w:r>
        <w:rPr>
          <w:rFonts w:eastAsia="Times New Roman"/>
          <w:color w:val="000000"/>
        </w:rPr>
        <w:t>Whether the exception would provide a significant cost benefit or an essential degree of expertise to the program or project that would otherwise not be available;</w:t>
      </w:r>
    </w:p>
    <w:p w:rsidR="004338AE" w:rsidRDefault="00963A13">
      <w:pPr>
        <w:numPr>
          <w:ilvl w:val="0"/>
          <w:numId w:val="4"/>
        </w:numPr>
        <w:tabs>
          <w:tab w:val="clear" w:pos="360"/>
          <w:tab w:val="left" w:pos="2880"/>
        </w:tabs>
        <w:spacing w:before="1" w:line="259" w:lineRule="exact"/>
        <w:ind w:left="2880" w:hanging="360"/>
        <w:jc w:val="both"/>
        <w:textAlignment w:val="baseline"/>
        <w:rPr>
          <w:rFonts w:eastAsia="Times New Roman"/>
          <w:color w:val="000000"/>
        </w:rPr>
      </w:pPr>
      <w:r>
        <w:rPr>
          <w:rFonts w:eastAsia="Times New Roman"/>
          <w:color w:val="000000"/>
        </w:rPr>
        <w:t>Whether an opportun</w:t>
      </w:r>
      <w:r>
        <w:rPr>
          <w:rFonts w:eastAsia="Times New Roman"/>
          <w:color w:val="000000"/>
        </w:rPr>
        <w:t>ity was provided for open competitive bidding or negotiation;</w:t>
      </w:r>
    </w:p>
    <w:p w:rsidR="004338AE" w:rsidRDefault="00963A13">
      <w:pPr>
        <w:numPr>
          <w:ilvl w:val="0"/>
          <w:numId w:val="4"/>
        </w:numPr>
        <w:tabs>
          <w:tab w:val="clear" w:pos="360"/>
          <w:tab w:val="left" w:pos="2880"/>
        </w:tabs>
        <w:spacing w:line="259" w:lineRule="exact"/>
        <w:ind w:left="2880" w:hanging="360"/>
        <w:jc w:val="both"/>
        <w:textAlignment w:val="baseline"/>
        <w:rPr>
          <w:rFonts w:eastAsia="Times New Roman"/>
          <w:color w:val="000000"/>
        </w:rPr>
      </w:pPr>
      <w:r>
        <w:rPr>
          <w:rFonts w:eastAsia="Times New Roman"/>
          <w:color w:val="000000"/>
        </w:rPr>
        <w:t>Whether the affected person has withdrawn from his or her functions, responsibilities or the decision-making process with respect to the specific activity in question;</w:t>
      </w:r>
    </w:p>
    <w:p w:rsidR="004338AE" w:rsidRDefault="00963A13">
      <w:pPr>
        <w:numPr>
          <w:ilvl w:val="0"/>
          <w:numId w:val="4"/>
        </w:numPr>
        <w:tabs>
          <w:tab w:val="clear" w:pos="360"/>
          <w:tab w:val="left" w:pos="2880"/>
        </w:tabs>
        <w:spacing w:before="1" w:line="259" w:lineRule="exact"/>
        <w:ind w:left="2880" w:hanging="360"/>
        <w:jc w:val="both"/>
        <w:textAlignment w:val="baseline"/>
        <w:rPr>
          <w:rFonts w:eastAsia="Times New Roman"/>
          <w:color w:val="000000"/>
        </w:rPr>
      </w:pPr>
      <w:r>
        <w:rPr>
          <w:rFonts w:eastAsia="Times New Roman"/>
          <w:color w:val="000000"/>
        </w:rPr>
        <w:t>Whether the interest or be</w:t>
      </w:r>
      <w:r>
        <w:rPr>
          <w:rFonts w:eastAsia="Times New Roman"/>
          <w:color w:val="000000"/>
        </w:rPr>
        <w:t>nefit was present before the affected person was in the position described in paragraph B(1);</w:t>
      </w:r>
    </w:p>
    <w:p w:rsidR="004338AE" w:rsidRDefault="00963A13">
      <w:pPr>
        <w:numPr>
          <w:ilvl w:val="0"/>
          <w:numId w:val="4"/>
        </w:numPr>
        <w:tabs>
          <w:tab w:val="clear" w:pos="360"/>
          <w:tab w:val="left" w:pos="2880"/>
        </w:tabs>
        <w:spacing w:line="259" w:lineRule="exact"/>
        <w:ind w:left="2880" w:hanging="360"/>
        <w:jc w:val="both"/>
        <w:textAlignment w:val="baseline"/>
        <w:rPr>
          <w:rFonts w:eastAsia="Times New Roman"/>
          <w:color w:val="000000"/>
        </w:rPr>
      </w:pPr>
      <w:r>
        <w:rPr>
          <w:rFonts w:eastAsia="Times New Roman"/>
          <w:color w:val="000000"/>
        </w:rPr>
        <w:t>Whether undue hardship results to the Division, the sub-recipient, or the person affected, when weighed against the public interest served by avoiding the prohibited conflict; and</w:t>
      </w:r>
    </w:p>
    <w:p w:rsidR="00963A13" w:rsidRPr="00963A13" w:rsidRDefault="00963A13" w:rsidP="00963A13">
      <w:pPr>
        <w:numPr>
          <w:ilvl w:val="0"/>
          <w:numId w:val="4"/>
        </w:numPr>
        <w:tabs>
          <w:tab w:val="clear" w:pos="360"/>
          <w:tab w:val="left" w:pos="2880"/>
        </w:tabs>
        <w:spacing w:line="259" w:lineRule="exact"/>
        <w:ind w:left="2880" w:hanging="360"/>
        <w:jc w:val="both"/>
        <w:textAlignment w:val="baseline"/>
        <w:rPr>
          <w:rFonts w:eastAsia="Times New Roman"/>
          <w:color w:val="000000"/>
        </w:rPr>
      </w:pPr>
      <w:r>
        <w:rPr>
          <w:rFonts w:eastAsia="Times New Roman"/>
          <w:color w:val="000000"/>
        </w:rPr>
        <w:t>Any other relevant considerations.</w:t>
      </w:r>
    </w:p>
    <w:p w:rsidR="00963A13" w:rsidRDefault="00963A13" w:rsidP="00963A13">
      <w:pPr>
        <w:tabs>
          <w:tab w:val="left" w:pos="360"/>
          <w:tab w:val="left" w:pos="2880"/>
        </w:tabs>
        <w:spacing w:line="259" w:lineRule="exact"/>
        <w:jc w:val="both"/>
        <w:textAlignment w:val="baseline"/>
        <w:rPr>
          <w:rFonts w:eastAsia="Times New Roman"/>
          <w:color w:val="000000"/>
        </w:rPr>
      </w:pPr>
    </w:p>
    <w:p w:rsidR="00963A13" w:rsidRPr="00963A13" w:rsidRDefault="00963A13" w:rsidP="00963A13">
      <w:pPr>
        <w:spacing w:before="4" w:line="259" w:lineRule="exact"/>
        <w:jc w:val="both"/>
        <w:textAlignment w:val="baseline"/>
        <w:rPr>
          <w:rFonts w:eastAsia="Times New Roman"/>
          <w:color w:val="000000"/>
        </w:rPr>
      </w:pPr>
      <w:r w:rsidRPr="00963A13">
        <w:rPr>
          <w:rFonts w:eastAsia="Times New Roman"/>
          <w:b/>
          <w:color w:val="000000"/>
          <w:u w:val="single"/>
        </w:rPr>
        <w:t>Contractors</w:t>
      </w:r>
      <w:r w:rsidRPr="00963A13">
        <w:rPr>
          <w:rFonts w:eastAsia="Times New Roman"/>
          <w:color w:val="000000"/>
        </w:rPr>
        <w:t xml:space="preserve"> </w:t>
      </w:r>
    </w:p>
    <w:p w:rsidR="00963A13" w:rsidRPr="00963A13" w:rsidRDefault="00963A13" w:rsidP="00963A13">
      <w:pPr>
        <w:pStyle w:val="ListParagraph"/>
        <w:spacing w:before="4" w:line="259" w:lineRule="exact"/>
        <w:ind w:left="0"/>
        <w:jc w:val="both"/>
        <w:textAlignment w:val="baseline"/>
        <w:rPr>
          <w:rFonts w:eastAsia="Times New Roman"/>
          <w:color w:val="000000"/>
        </w:rPr>
      </w:pPr>
      <w:r w:rsidRPr="00963A13">
        <w:rPr>
          <w:rFonts w:eastAsia="Times New Roman"/>
          <w:color w:val="000000"/>
        </w:rPr>
        <w:t>All contractors of the Division or sub-recipient must comply with the same requirements that apply to sub-recipients.</w:t>
      </w:r>
    </w:p>
    <w:p w:rsidR="00963A13" w:rsidRDefault="00963A13" w:rsidP="00963A13">
      <w:pPr>
        <w:tabs>
          <w:tab w:val="left" w:pos="720"/>
        </w:tabs>
        <w:spacing w:before="275" w:line="249" w:lineRule="exact"/>
        <w:textAlignment w:val="baseline"/>
        <w:rPr>
          <w:rFonts w:eastAsia="Times New Roman"/>
          <w:b/>
          <w:color w:val="000000"/>
          <w:u w:val="single"/>
        </w:rPr>
      </w:pPr>
    </w:p>
    <w:p w:rsidR="00963A13" w:rsidRDefault="00963A13" w:rsidP="00963A13">
      <w:pPr>
        <w:tabs>
          <w:tab w:val="left" w:pos="720"/>
        </w:tabs>
        <w:spacing w:before="275" w:line="249" w:lineRule="exact"/>
        <w:textAlignment w:val="baseline"/>
        <w:rPr>
          <w:rFonts w:eastAsia="Times New Roman"/>
          <w:b/>
          <w:color w:val="000000"/>
          <w:u w:val="single"/>
        </w:rPr>
      </w:pPr>
    </w:p>
    <w:p w:rsidR="00963A13" w:rsidRDefault="00963A13" w:rsidP="00963A13">
      <w:pPr>
        <w:tabs>
          <w:tab w:val="left" w:pos="720"/>
        </w:tabs>
        <w:spacing w:before="275" w:line="249" w:lineRule="exact"/>
        <w:textAlignment w:val="baseline"/>
        <w:rPr>
          <w:rFonts w:eastAsia="Times New Roman"/>
          <w:b/>
          <w:color w:val="000000"/>
          <w:u w:val="single"/>
        </w:rPr>
      </w:pPr>
    </w:p>
    <w:p w:rsidR="00963A13" w:rsidRDefault="00963A13" w:rsidP="00963A13">
      <w:pPr>
        <w:tabs>
          <w:tab w:val="left" w:pos="720"/>
        </w:tabs>
        <w:spacing w:before="275" w:line="249" w:lineRule="exact"/>
        <w:textAlignment w:val="baseline"/>
        <w:rPr>
          <w:rFonts w:eastAsia="Times New Roman"/>
          <w:b/>
          <w:color w:val="000000"/>
          <w:u w:val="single"/>
        </w:rPr>
      </w:pPr>
    </w:p>
    <w:p w:rsidR="00963A13" w:rsidRDefault="00963A13" w:rsidP="00963A13">
      <w:pPr>
        <w:tabs>
          <w:tab w:val="left" w:pos="720"/>
        </w:tabs>
        <w:spacing w:before="275" w:line="249" w:lineRule="exact"/>
        <w:textAlignment w:val="baseline"/>
        <w:rPr>
          <w:rFonts w:eastAsia="Times New Roman"/>
          <w:b/>
          <w:color w:val="000000"/>
          <w:u w:val="single"/>
        </w:rPr>
      </w:pPr>
      <w:r>
        <w:rPr>
          <w:rFonts w:eastAsia="Times New Roman"/>
          <w:b/>
          <w:color w:val="000000"/>
          <w:u w:val="single"/>
        </w:rPr>
        <w:t>Additional Requirements for ESG sub-recipients and contractors</w:t>
      </w:r>
    </w:p>
    <w:p w:rsidR="00963A13" w:rsidRDefault="00963A13" w:rsidP="00963A13">
      <w:pPr>
        <w:spacing w:before="254" w:line="259" w:lineRule="exact"/>
        <w:jc w:val="both"/>
        <w:textAlignment w:val="baseline"/>
        <w:rPr>
          <w:rFonts w:eastAsia="Times New Roman"/>
          <w:color w:val="000000"/>
        </w:rPr>
      </w:pPr>
      <w:r>
        <w:rPr>
          <w:rFonts w:eastAsia="Times New Roman"/>
          <w:color w:val="000000"/>
        </w:rPr>
        <w:t>Sub-recipient Conflict-of- Interest policies must also include instructions to staff that may be in the situation of needing assistance themselves, or providing assistance to close friends or family members, to ensure that ESG funds are not used inappropriately. Sub-recipient staff must be aware of the sub-recipient’s Policy, evidenced by their signature, that they have received a copy of the Policy. The original executed copy shall be maintained in the ESG program file.</w:t>
      </w:r>
    </w:p>
    <w:p w:rsidR="00963A13" w:rsidRDefault="00963A13" w:rsidP="00963A13">
      <w:pPr>
        <w:tabs>
          <w:tab w:val="left" w:pos="720"/>
        </w:tabs>
        <w:spacing w:before="275" w:line="249" w:lineRule="exact"/>
        <w:textAlignment w:val="baseline"/>
        <w:rPr>
          <w:rFonts w:eastAsia="Times New Roman"/>
          <w:b/>
          <w:color w:val="000000"/>
          <w:spacing w:val="1"/>
          <w:u w:val="single"/>
        </w:rPr>
      </w:pPr>
      <w:r>
        <w:rPr>
          <w:rFonts w:eastAsia="Times New Roman"/>
          <w:b/>
          <w:color w:val="000000"/>
          <w:spacing w:val="1"/>
          <w:u w:val="single"/>
        </w:rPr>
        <w:t>Conflict of Interest Change History</w:t>
      </w:r>
    </w:p>
    <w:p w:rsidR="00963A13" w:rsidRDefault="00963A13" w:rsidP="00963A13">
      <w:pPr>
        <w:spacing w:before="254" w:after="285" w:line="259" w:lineRule="exact"/>
        <w:jc w:val="both"/>
        <w:textAlignment w:val="baseline"/>
        <w:rPr>
          <w:rFonts w:eastAsia="Times New Roman"/>
          <w:color w:val="000000"/>
        </w:rPr>
      </w:pPr>
      <w:r>
        <w:rPr>
          <w:rFonts w:eastAsia="Times New Roman"/>
          <w:color w:val="000000"/>
        </w:rPr>
        <w:t>Each copy of this Notice will have a history of changes made to the document. This document’s change history is as follows:</w:t>
      </w:r>
    </w:p>
    <w:p w:rsidR="00963A13" w:rsidRDefault="00963A13" w:rsidP="00963A13">
      <w:pPr>
        <w:spacing w:line="258" w:lineRule="exact"/>
        <w:textAlignment w:val="baseline"/>
        <w:rPr>
          <w:rFonts w:eastAsia="Times New Roman"/>
          <w:color w:val="000000"/>
          <w:sz w:val="24"/>
        </w:rPr>
      </w:pPr>
    </w:p>
    <w:p w:rsidR="00963A13" w:rsidRDefault="00963A13" w:rsidP="00963A13">
      <w:pPr>
        <w:spacing w:line="258" w:lineRule="exact"/>
        <w:textAlignment w:val="baseline"/>
        <w:rPr>
          <w:rFonts w:eastAsia="Times New Roman"/>
          <w:color w:val="000000"/>
          <w:sz w:val="24"/>
        </w:rPr>
      </w:pPr>
    </w:p>
    <w:p w:rsidR="00963A13" w:rsidRDefault="00963A13" w:rsidP="00963A13">
      <w:pPr>
        <w:spacing w:line="258" w:lineRule="exact"/>
        <w:textAlignment w:val="baseline"/>
        <w:rPr>
          <w:rFonts w:eastAsia="Times New Roman"/>
          <w:color w:val="000000"/>
          <w:sz w:val="24"/>
        </w:rPr>
      </w:pPr>
    </w:p>
    <w:p w:rsidR="00963A13" w:rsidRPr="00963A13" w:rsidRDefault="00963A13" w:rsidP="00963A13">
      <w:pPr>
        <w:spacing w:line="258" w:lineRule="exact"/>
        <w:textAlignment w:val="baseline"/>
        <w:rPr>
          <w:rFonts w:eastAsia="Times New Roman"/>
          <w:color w:val="000000"/>
          <w:sz w:val="24"/>
        </w:rPr>
      </w:pPr>
      <w:r w:rsidRPr="00963A13">
        <w:rPr>
          <w:rFonts w:eastAsia="Times New Roman"/>
          <w:color w:val="000000"/>
          <w:sz w:val="24"/>
        </w:rPr>
        <w:t>Version 2.0</w:t>
      </w:r>
      <w:r w:rsidRPr="00963A13">
        <w:rPr>
          <w:rFonts w:eastAsia="Times New Roman"/>
          <w:color w:val="000000"/>
          <w:sz w:val="24"/>
        </w:rPr>
        <w:tab/>
        <w:t>February 21, 2018</w:t>
      </w:r>
    </w:p>
    <w:p w:rsidR="00963A13" w:rsidRPr="00963A13" w:rsidRDefault="00963A13" w:rsidP="00963A13">
      <w:pPr>
        <w:spacing w:line="258" w:lineRule="exact"/>
        <w:textAlignment w:val="baseline"/>
        <w:rPr>
          <w:rFonts w:eastAsia="Times New Roman"/>
          <w:color w:val="000000"/>
          <w:sz w:val="24"/>
        </w:rPr>
      </w:pPr>
    </w:p>
    <w:p w:rsidR="00963A13" w:rsidRPr="00963A13" w:rsidRDefault="00963A13" w:rsidP="00963A13">
      <w:pPr>
        <w:spacing w:line="258" w:lineRule="exact"/>
        <w:textAlignment w:val="baseline"/>
        <w:rPr>
          <w:rFonts w:eastAsia="Times New Roman"/>
          <w:color w:val="000000"/>
          <w:sz w:val="24"/>
        </w:rPr>
      </w:pPr>
    </w:p>
    <w:p w:rsidR="00963A13" w:rsidRPr="00963A13" w:rsidRDefault="00963A13" w:rsidP="00963A13">
      <w:pPr>
        <w:spacing w:line="258" w:lineRule="exact"/>
        <w:textAlignment w:val="baseline"/>
        <w:rPr>
          <w:rFonts w:eastAsia="Times New Roman"/>
          <w:color w:val="000000"/>
          <w:sz w:val="24"/>
        </w:rPr>
      </w:pPr>
      <w:r w:rsidRPr="00963A13">
        <w:rPr>
          <w:rFonts w:eastAsia="Times New Roman"/>
          <w:color w:val="000000"/>
          <w:sz w:val="24"/>
        </w:rPr>
        <w:t>Received and acknowledged by:</w:t>
      </w:r>
    </w:p>
    <w:p w:rsidR="00963A13" w:rsidRPr="00963A13" w:rsidRDefault="00963A13" w:rsidP="00963A13">
      <w:pPr>
        <w:spacing w:line="258" w:lineRule="exact"/>
        <w:textAlignment w:val="baseline"/>
        <w:rPr>
          <w:rFonts w:eastAsia="Times New Roman"/>
          <w:color w:val="000000"/>
          <w:sz w:val="24"/>
        </w:rPr>
      </w:pPr>
    </w:p>
    <w:p w:rsidR="00963A13" w:rsidRDefault="00963A13" w:rsidP="00963A13">
      <w:pPr>
        <w:spacing w:line="258" w:lineRule="exact"/>
        <w:textAlignment w:val="baseline"/>
        <w:rPr>
          <w:rFonts w:eastAsia="Times New Roman"/>
          <w:color w:val="000000"/>
          <w:sz w:val="24"/>
        </w:rPr>
      </w:pPr>
    </w:p>
    <w:p w:rsidR="00963A13" w:rsidRPr="00963A13" w:rsidRDefault="00963A13" w:rsidP="00963A13">
      <w:pPr>
        <w:spacing w:line="258" w:lineRule="exact"/>
        <w:textAlignment w:val="baseline"/>
        <w:rPr>
          <w:rFonts w:eastAsia="Times New Roman"/>
          <w:color w:val="000000"/>
          <w:sz w:val="24"/>
        </w:rPr>
      </w:pPr>
      <w:r>
        <w:rPr>
          <w:rFonts w:eastAsia="Times New Roman"/>
          <w:color w:val="000000"/>
          <w:sz w:val="24"/>
        </w:rPr>
        <w:t>________________________________________________</w:t>
      </w:r>
    </w:p>
    <w:p w:rsidR="004338AE" w:rsidRDefault="00963A13" w:rsidP="00963A13">
      <w:pPr>
        <w:spacing w:line="258" w:lineRule="exact"/>
        <w:textAlignment w:val="baseline"/>
        <w:rPr>
          <w:rFonts w:eastAsia="Times New Roman"/>
          <w:color w:val="000000"/>
          <w:sz w:val="24"/>
        </w:rPr>
      </w:pPr>
      <w:r w:rsidRPr="00963A13">
        <w:rPr>
          <w:rFonts w:eastAsia="Times New Roman"/>
          <w:color w:val="000000"/>
          <w:sz w:val="24"/>
        </w:rPr>
        <w:t>Signature</w:t>
      </w:r>
    </w:p>
    <w:p w:rsidR="00963A13" w:rsidRDefault="00963A13" w:rsidP="00963A13">
      <w:pPr>
        <w:spacing w:line="258" w:lineRule="exact"/>
        <w:textAlignment w:val="baseline"/>
        <w:rPr>
          <w:rFonts w:eastAsia="Times New Roman"/>
          <w:color w:val="000000"/>
          <w:sz w:val="24"/>
        </w:rPr>
      </w:pPr>
    </w:p>
    <w:p w:rsidR="00963A13" w:rsidRDefault="00963A13" w:rsidP="00963A13">
      <w:pPr>
        <w:spacing w:line="258" w:lineRule="exact"/>
        <w:textAlignment w:val="baseline"/>
        <w:rPr>
          <w:rFonts w:eastAsia="Times New Roman"/>
          <w:color w:val="000000"/>
          <w:sz w:val="24"/>
        </w:rPr>
      </w:pPr>
    </w:p>
    <w:p w:rsidR="00963A13" w:rsidRDefault="00963A13" w:rsidP="00963A13">
      <w:pPr>
        <w:spacing w:line="258" w:lineRule="exact"/>
        <w:textAlignment w:val="baseline"/>
        <w:rPr>
          <w:rFonts w:eastAsia="Times New Roman"/>
          <w:color w:val="000000"/>
          <w:sz w:val="24"/>
        </w:rPr>
      </w:pPr>
      <w:r>
        <w:rPr>
          <w:rFonts w:eastAsia="Times New Roman"/>
          <w:color w:val="000000"/>
          <w:sz w:val="24"/>
        </w:rPr>
        <w:t>________________________________________________            ________________________</w:t>
      </w:r>
    </w:p>
    <w:p w:rsidR="00963A13" w:rsidRDefault="00963A13" w:rsidP="00963A13">
      <w:pPr>
        <w:spacing w:line="258" w:lineRule="exact"/>
        <w:textAlignment w:val="baseline"/>
        <w:rPr>
          <w:rFonts w:eastAsia="Times New Roman"/>
          <w:color w:val="000000"/>
          <w:sz w:val="24"/>
        </w:rPr>
      </w:pPr>
      <w:r>
        <w:rPr>
          <w:rFonts w:eastAsia="Times New Roman"/>
          <w:color w:val="000000"/>
          <w:sz w:val="24"/>
        </w:rPr>
        <w:t>Printed Name and Title                                                                       Date</w:t>
      </w:r>
    </w:p>
    <w:sectPr w:rsidR="00963A13">
      <w:pgSz w:w="12240" w:h="15840"/>
      <w:pgMar w:top="1440" w:right="1417" w:bottom="110" w:left="14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4CC"/>
    <w:multiLevelType w:val="multilevel"/>
    <w:tmpl w:val="B856551C"/>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9505A"/>
    <w:multiLevelType w:val="multilevel"/>
    <w:tmpl w:val="CAEEA2DA"/>
    <w:lvl w:ilvl="0">
      <w:start w:val="2"/>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C01B3"/>
    <w:multiLevelType w:val="multilevel"/>
    <w:tmpl w:val="D7489052"/>
    <w:lvl w:ilvl="0">
      <w:start w:val="4"/>
      <w:numFmt w:val="upperLetter"/>
      <w:lvlText w:val="%1."/>
      <w:lvlJc w:val="left"/>
      <w:pPr>
        <w:tabs>
          <w:tab w:val="left" w:pos="720"/>
        </w:tabs>
      </w:pPr>
      <w:rPr>
        <w:rFonts w:ascii="Times New Roman" w:eastAsia="Times New Roman" w:hAnsi="Times New Roman"/>
        <w:b/>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88311F"/>
    <w:multiLevelType w:val="multilevel"/>
    <w:tmpl w:val="7FB48B94"/>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D20E5A"/>
    <w:multiLevelType w:val="multilevel"/>
    <w:tmpl w:val="B33EF62A"/>
    <w:lvl w:ilvl="0">
      <w:start w:val="1"/>
      <w:numFmt w:val="upperLetter"/>
      <w:lvlText w:val="%1."/>
      <w:lvlJc w:val="left"/>
      <w:pPr>
        <w:tabs>
          <w:tab w:val="left" w:pos="360"/>
        </w:tabs>
      </w:pPr>
      <w:rPr>
        <w:rFonts w:ascii="Times New Roman" w:eastAsia="Times New Roman" w:hAnsi="Times New Roman"/>
        <w:b/>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CC2B46"/>
    <w:multiLevelType w:val="multilevel"/>
    <w:tmpl w:val="B33EF62A"/>
    <w:lvl w:ilvl="0">
      <w:start w:val="1"/>
      <w:numFmt w:val="upperLetter"/>
      <w:lvlText w:val="%1."/>
      <w:lvlJc w:val="left"/>
      <w:pPr>
        <w:tabs>
          <w:tab w:val="left" w:pos="360"/>
        </w:tabs>
      </w:pPr>
      <w:rPr>
        <w:rFonts w:ascii="Times New Roman" w:eastAsia="Times New Roman" w:hAnsi="Times New Roman"/>
        <w:b/>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AE"/>
    <w:rsid w:val="004338AE"/>
    <w:rsid w:val="0096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D37867-6EF2-43AF-B74D-03943C1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fr.vlex.com/vid/84-42-codes-conduct-19925063" TargetMode="External"/><Relationship Id="rId3" Type="http://schemas.openxmlformats.org/officeDocument/2006/relationships/settings" Target="settings.xml"/><Relationship Id="rId7" Type="http://schemas.openxmlformats.org/officeDocument/2006/relationships/hyperlink" Target="http://portal.hud.gov/hudportal/HUD?src=/program_offices/cpo/grantees/cfr8536"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Neff</dc:creator>
  <cp:lastModifiedBy>Amber Neff</cp:lastModifiedBy>
  <cp:revision>2</cp:revision>
  <dcterms:created xsi:type="dcterms:W3CDTF">2018-02-21T15:58:00Z</dcterms:created>
  <dcterms:modified xsi:type="dcterms:W3CDTF">2018-02-21T15:58:00Z</dcterms:modified>
</cp:coreProperties>
</file>